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</w:rPr>
        <w:t xml:space="preserve">Rubric for 8th Grade Music and Movement Project: Animal Behavior and Survival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25"/>
        <w:gridCol w:w="2125"/>
        <w:gridCol w:w="2125"/>
        <w:gridCol w:w="2125"/>
      </w:tblGrid>
      <w:tr>
        <w:trPr>
          <w:tblHeader/>
        </w:trPr>
        <w:tc>
          <w:tcPr>
            <w:shd w:fill="b79c2f" w:val="solid"/>
            <w:vAlign w:val="center"/>
          </w:tcPr>
          <w:p>
            <w:r>
              <w:t xml:space="preserve">Criteria</w:t>
            </w:r>
          </w:p>
        </w:tc>
        <w:tc>
          <w:tcPr>
            <w:shd w:fill="b79c2f" w:val="solid"/>
            <w:vAlign w:val="center"/>
          </w:tcPr>
          <w:p>
            <w:r>
              <w:t xml:space="preserve">3 - Proficient</w:t>
            </w:r>
          </w:p>
        </w:tc>
        <w:tc>
          <w:tcPr>
            <w:shd w:fill="b79c2f" w:val="solid"/>
            <w:vAlign w:val="center"/>
          </w:tcPr>
          <w:p>
            <w:r>
              <w:t xml:space="preserve">2 - Approaching</w:t>
            </w:r>
          </w:p>
        </w:tc>
        <w:tc>
          <w:tcPr>
            <w:shd w:fill="b79c2f" w:val="solid"/>
            <w:vAlign w:val="center"/>
          </w:tcPr>
          <w:p>
            <w:r>
              <w:t xml:space="preserve">1 - Beginning</w:t>
            </w:r>
          </w:p>
        </w:tc>
      </w:tr>
      <w:tr>
        <w:tc>
          <w:tcPr>
            <w:vAlign w:val="center"/>
          </w:tcPr>
          <w:p>
            <w:r>
              <w:rPr>
                <w:b/>
                <w:bCs/>
              </w:rPr>
              <w:t xml:space="preserve">Connection of Music to Animal</w:t>
            </w:r>
          </w:p>
        </w:tc>
        <w:tc>
          <w:tcPr>
            <w:vAlign w:val="center"/>
          </w:tcPr>
          <w:p>
            <w:r>
              <w:t xml:space="preserve">Clearly explains why the chosen music represents the animal; insightful connections to animal behavior.</w:t>
            </w:r>
          </w:p>
        </w:tc>
        <w:tc>
          <w:tcPr>
            <w:vAlign w:val="center"/>
          </w:tcPr>
          <w:p>
            <w:r>
              <w:t xml:space="preserve">Explanation is somewhat clear but lacks depth or clarity in the connection to the animal's behavior.</w:t>
            </w:r>
          </w:p>
        </w:tc>
        <w:tc>
          <w:tcPr>
            <w:vAlign w:val="center"/>
          </w:tcPr>
          <w:p>
            <w:r>
              <w:t xml:space="preserve">Explanation is unclear or missing connection between music and animal.</w:t>
            </w:r>
          </w:p>
        </w:tc>
      </w:tr>
      <w:tr>
        <w:tc>
          <w:tcPr>
            <w:vAlign w:val="center"/>
          </w:tcPr>
          <w:p>
            <w:r>
              <w:rPr>
                <w:b/>
                <w:bCs/>
              </w:rPr>
              <w:t xml:space="preserve">Movement Representation</w:t>
            </w:r>
          </w:p>
        </w:tc>
        <w:tc>
          <w:tcPr>
            <w:vAlign w:val="center"/>
          </w:tcPr>
          <w:p>
            <w:r>
              <w:t xml:space="preserve">Creates creative and accurate movements that clearly illustrate the chosen animal’s behavior and survival strategies.</w:t>
            </w:r>
          </w:p>
        </w:tc>
        <w:tc>
          <w:tcPr>
            <w:vAlign w:val="center"/>
          </w:tcPr>
          <w:p>
            <w:r>
              <w:t xml:space="preserve">Movements somewhat represent the animal’s behavior but may lack accuracy or creativity.</w:t>
            </w:r>
          </w:p>
        </w:tc>
        <w:tc>
          <w:tcPr>
            <w:vAlign w:val="center"/>
          </w:tcPr>
          <w:p>
            <w:r>
              <w:t xml:space="preserve">Movements do not accurately represent the animal’s behavior or are minimal.</w:t>
            </w:r>
          </w:p>
        </w:tc>
      </w:tr>
      <w:tr>
        <w:tc>
          <w:tcPr>
            <w:vAlign w:val="center"/>
          </w:tcPr>
          <w:p>
            <w:r>
              <w:rPr>
                <w:b/>
                <w:bCs/>
              </w:rPr>
              <w:t xml:space="preserve">Demonstration of Survival Link</w:t>
            </w:r>
          </w:p>
        </w:tc>
        <w:tc>
          <w:tcPr>
            <w:vAlign w:val="center"/>
          </w:tcPr>
          <w:p>
            <w:r>
              <w:t xml:space="preserve">Effectively demonstrates and explains how the movement (behavior) helps the animal survive, using scientific reasoning.</w:t>
            </w:r>
          </w:p>
        </w:tc>
        <w:tc>
          <w:tcPr>
            <w:vAlign w:val="center"/>
          </w:tcPr>
          <w:p>
            <w:r>
              <w:t xml:space="preserve">Shows some understanding of how the behavior aids survival but explanation is incomplete or unclear.</w:t>
            </w:r>
          </w:p>
        </w:tc>
        <w:tc>
          <w:tcPr>
            <w:vAlign w:val="center"/>
          </w:tcPr>
          <w:p>
            <w:r>
              <w:t xml:space="preserve">Does not demonstrate or explain how the behavior supports survival.</w:t>
            </w:r>
          </w:p>
        </w:tc>
      </w:tr>
      <w:tr>
        <w:tc>
          <w:tcPr>
            <w:vAlign w:val="center"/>
          </w:tcPr>
          <w:p>
            <w:r>
              <w:rPr>
                <w:b/>
                <w:bCs/>
              </w:rPr>
              <w:t xml:space="preserve">Communication and Explanation</w:t>
            </w:r>
          </w:p>
        </w:tc>
        <w:tc>
          <w:tcPr>
            <w:vAlign w:val="center"/>
          </w:tcPr>
          <w:p>
            <w:r>
              <w:t xml:space="preserve">Verbally communicates ideas clearly and confidently with strong evidence from music and science discussions.</w:t>
            </w:r>
          </w:p>
        </w:tc>
        <w:tc>
          <w:tcPr>
            <w:vAlign w:val="center"/>
          </w:tcPr>
          <w:p>
            <w:r>
              <w:t xml:space="preserve">Communicates ideas but lacks confidence or sufficient evidence to support explanations.</w:t>
            </w:r>
          </w:p>
        </w:tc>
        <w:tc>
          <w:tcPr>
            <w:vAlign w:val="center"/>
          </w:tcPr>
          <w:p>
            <w:r>
              <w:t xml:space="preserve">Communication is unclear or incomplete, with little or no evidence provided.</w:t>
            </w:r>
          </w:p>
        </w:tc>
      </w:tr>
      <w:tr>
        <w:tc>
          <w:tcPr>
            <w:vAlign w:val="center"/>
          </w:tcPr>
          <w:p>
            <w:r>
              <w:rPr>
                <w:b/>
                <w:bCs/>
              </w:rPr>
              <w:t xml:space="preserve">Written Paragraph and Diagram</w:t>
            </w:r>
          </w:p>
        </w:tc>
        <w:tc>
          <w:tcPr>
            <w:vAlign w:val="center"/>
          </w:tcPr>
          <w:p>
            <w:r>
              <w:t xml:space="preserve">Paragraph is well-written, scientifically accurate, and includes a clear diagram illustrating the movement.</w:t>
            </w:r>
          </w:p>
        </w:tc>
        <w:tc>
          <w:tcPr>
            <w:vAlign w:val="center"/>
          </w:tcPr>
          <w:p>
            <w:r>
              <w:t xml:space="preserve">Paragraph is somewhat clear but may contain inaccuracies or incomplete diagram.</w:t>
            </w:r>
          </w:p>
        </w:tc>
        <w:tc>
          <w:tcPr>
            <w:vAlign w:val="center"/>
          </w:tcPr>
          <w:p>
            <w:r>
              <w:t xml:space="preserve">Paragraph is incomplete, inaccurate, or missing; diagram is unclear or absent.</w:t>
            </w:r>
          </w:p>
        </w:tc>
      </w:tr>
    </w:tbl>
    <w:p>
      <w:r>
        <w:rPr>
          <w:i/>
          <w:iCs/>
        </w:rPr>
        <w:t xml:space="preserve">Note to teachers: Please review student work carefully as rubric interpretations may vary, especially in assessing creativity and scientific accuracy.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576"/>
      </w:pPr>
    </w:lvl>
    <w:lvl w:ilvl="1" w15:tentative="1">
      <w:start w:val="1"/>
      <w:numFmt w:val="decimal"/>
      <w:lvlText w:val="%1.%2."/>
      <w:lvlJc w:val="start"/>
      <w:pPr>
        <w:ind w:left="936"/>
      </w:pPr>
    </w:lvl>
    <w:lvl w:ilvl="2" w15:tentative="1">
      <w:start w:val="1"/>
      <w:numFmt w:val="decimal"/>
      <w:lvlText w:val="%1.%2.%3."/>
      <w:lvlJc w:val="start"/>
      <w:pPr>
        <w:ind w:left="1296"/>
      </w:pPr>
    </w:lvl>
    <w:lvl w:ilvl="3" w15:tentative="1">
      <w:start w:val="1"/>
      <w:numFmt w:val="decimal"/>
      <w:lvlText w:val="%1.%2.%3.%4."/>
      <w:lvlJc w:val="start"/>
      <w:pPr>
        <w:ind w:left="1656"/>
      </w:pPr>
    </w:lvl>
    <w:lvl w:ilvl="4" w15:tentative="1">
      <w:start w:val="1"/>
      <w:numFmt w:val="upperLetter"/>
      <w:lvlText w:val="%5."/>
      <w:lvlJc w:val="start"/>
      <w:pPr>
        <w:ind w:left="2016"/>
      </w:pPr>
    </w:lvl>
    <w:lvl w:ilvl="5" w15:tentative="1">
      <w:start w:val="1"/>
      <w:numFmt w:val="lowerLetter"/>
      <w:lvlText w:val="%6."/>
      <w:lvlJc w:val="start"/>
      <w:pPr>
        <w:ind w:left="2376"/>
      </w:pPr>
    </w:lvl>
    <w:lvl w:ilvl="6" w15:tentative="1">
      <w:start w:val="1"/>
      <w:numFmt w:val="lowerRoman"/>
      <w:lvlText w:val="%7."/>
      <w:lvlJc w:val="start"/>
      <w:pPr>
        <w:ind w:left="2735"/>
      </w:pPr>
    </w:lvl>
    <w:lvl w:ilvl="7" w15:tentative="1">
      <w:start w:val="1"/>
      <w:numFmt w:val="upperRoman"/>
      <w:lvlText w:val="%8."/>
      <w:lvlJc w:val="start"/>
      <w:pPr>
        <w:ind w:left="3095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left="576"/>
      </w:pPr>
    </w:lvl>
    <w:lvl w:ilvl="1" w15:tentative="1">
      <w:start w:val="1"/>
      <w:numFmt w:val="bullet"/>
      <w:lvlText w:val="○"/>
      <w:lvlJc w:val="start"/>
      <w:pPr>
        <w:ind w:left="936"/>
      </w:pPr>
    </w:lvl>
    <w:lvl w:ilvl="2" w15:tentative="1">
      <w:start w:val="1"/>
      <w:numFmt w:val="bullet"/>
      <w:lvlText w:val="■"/>
      <w:lvlJc w:val="start"/>
      <w:pPr>
        <w:ind w:left="1296"/>
      </w:pPr>
    </w:lvl>
    <w:lvl w:ilvl="3" w15:tentative="1">
      <w:start w:val="1"/>
      <w:numFmt w:val="bullet"/>
      <w:lvlText w:val="◆"/>
      <w:lvlJc w:val="start"/>
      <w:pPr>
        <w:ind w:left="1656"/>
      </w:pPr>
    </w:lvl>
    <w:lvl w:ilvl="4" w15:tentative="1">
      <w:start w:val="1"/>
      <w:numFmt w:val="bullet"/>
      <w:lvlText w:val="▶"/>
      <w:lvlJc w:val="start"/>
      <w:pPr>
        <w:ind w:left="2016"/>
      </w:pPr>
    </w:lvl>
    <w:lvl w:ilvl="5" w15:tentative="1">
      <w:start w:val="1"/>
      <w:numFmt w:val="bullet"/>
      <w:lvlText w:val="◉"/>
      <w:lvlJc w:val="start"/>
      <w:pPr>
        <w:ind w:left="2376"/>
      </w:pPr>
    </w:lvl>
    <w:lvl w:ilvl="6" w15:tentative="1">
      <w:start w:val="1"/>
      <w:numFmt w:val="bullet"/>
      <w:lvlText w:val="⬤"/>
      <w:lvlJc w:val="start"/>
      <w:pPr>
        <w:ind w:left="2735"/>
      </w:pPr>
    </w:lvl>
    <w:lvl w:ilvl="7" w15:tentative="1">
      <w:start w:val="1"/>
      <w:numFmt w:val="bullet"/>
      <w:lvlText w:val="♦"/>
      <w:lvlJc w:val="start"/>
      <w:pPr>
        <w:ind w:left="3095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4"/>
        <w:szCs w:val="24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200" w:after="20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pPr>
      <w:spacing w:before="180" w:after="180"/>
    </w:pPr>
    <w:rPr>
      <w:b/>
      <w:bCs/>
      <w:sz w:val="34"/>
      <w:szCs w:val="34"/>
    </w:rPr>
  </w:style>
  <w:style w:type="paragraph" w:styleId="Heading3">
    <w:name w:val="Heading 3"/>
    <w:basedOn w:val="Normal"/>
    <w:next w:val="Normal"/>
    <w:qFormat/>
    <w:pPr>
      <w:spacing w:before="180" w:after="180"/>
    </w:pPr>
    <w:rPr>
      <w:b/>
      <w:bCs/>
      <w:color w:val="000000"/>
      <w:sz w:val="32"/>
      <w:szCs w:val="32"/>
    </w:rPr>
  </w:style>
  <w:style w:type="paragraph" w:styleId="Heading4">
    <w:name w:val="Heading 4"/>
    <w:basedOn w:val="Normal"/>
    <w:next w:val="Normal"/>
    <w:qFormat/>
    <w:pPr>
      <w:spacing w:before="180" w:after="180"/>
    </w:pPr>
    <w:rPr>
      <w:b/>
      <w:bCs/>
      <w:color w:val="000000"/>
      <w:sz w:val="30"/>
      <w:szCs w:val="30"/>
    </w:rPr>
  </w:style>
  <w:style w:type="paragraph" w:styleId="Heading5">
    <w:name w:val="Heading 5"/>
    <w:basedOn w:val="Normal"/>
    <w:next w:val="Normal"/>
    <w:qFormat/>
    <w:pPr>
      <w:spacing w:before="180" w:after="180"/>
    </w:pPr>
    <w:rPr>
      <w:b/>
      <w:bCs/>
      <w:color w:val="000000"/>
      <w:sz w:val="28"/>
      <w:szCs w:val="28"/>
    </w:rPr>
  </w:style>
  <w:style w:type="paragraph" w:styleId="Heading6">
    <w:name w:val="Heading 6"/>
    <w:basedOn w:val="Normal"/>
    <w:next w:val="Normal"/>
    <w:qFormat/>
    <w:pPr>
      <w:spacing w:before="180" w:after="180"/>
    </w:pPr>
    <w:rPr>
      <w:b/>
      <w:bCs/>
      <w:color w:val="000000"/>
      <w:sz w:val="26"/>
      <w:szCs w:val="26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codeBlock">
    <w:name w:val="Code Block"/>
    <w:basedOn w:val="Normal"/>
    <w:next w:val="Normal"/>
    <w:rPr>
      <w:rFonts w:ascii="Roboto Mono" w:cs="Roboto Mono" w:eastAsia="Roboto Mono" w:hAnsi="Roboto Mono"/>
    </w:rPr>
  </w:style>
  <w:style w:type="paragraph" w:styleId="quote">
    <w:name w:val="Quote"/>
    <w:basedOn w:val="Normal"/>
    <w:next w:val="Normal"/>
    <w:pPr>
      <w:ind w:left="720"/>
    </w:p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2025-07-16T23:57:58.897Z</dcterms:created>
  <dcterms:modified xsi:type="dcterms:W3CDTF">2025-07-16T23:57:58.897Z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